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BFEF0" w14:textId="77777777" w:rsidR="00723F8D" w:rsidRDefault="0056562D">
      <w:pPr>
        <w:pStyle w:val="Heading1"/>
      </w:pPr>
      <w:bookmarkStart w:id="0" w:name="heart-of-america-horse-association-haha"/>
      <w:r>
        <w:t>HEART OF AMERICA HORSE ASSOCIATION (HAHA)</w:t>
      </w:r>
    </w:p>
    <w:p w14:paraId="7E7011C7" w14:textId="77777777" w:rsidR="00723F8D" w:rsidRDefault="0056562D">
      <w:pPr>
        <w:pStyle w:val="Heading2"/>
      </w:pPr>
      <w:bookmarkStart w:id="1" w:name="by-laws"/>
      <w:r>
        <w:t>BY-LAWS</w:t>
      </w:r>
    </w:p>
    <w:p w14:paraId="2C670245" w14:textId="77777777" w:rsidR="00723F8D" w:rsidRDefault="0056562D">
      <w:pPr>
        <w:pStyle w:val="FirstParagraph"/>
      </w:pPr>
      <w:r>
        <w:rPr>
          <w:b/>
          <w:bCs/>
        </w:rPr>
        <w:t>Amended and Adopted: January 2026</w:t>
      </w:r>
    </w:p>
    <w:p w14:paraId="06CED807" w14:textId="77777777" w:rsidR="00723F8D" w:rsidRDefault="008209D9">
      <w:r>
        <w:pict w14:anchorId="20052A3F">
          <v:rect id="_x0000_i1025" style="width:0;height:1.5pt" o:hralign="center" o:hrstd="t" o:hr="t"/>
        </w:pict>
      </w:r>
    </w:p>
    <w:p w14:paraId="4842388B" w14:textId="77777777" w:rsidR="00723F8D" w:rsidRDefault="0056562D">
      <w:pPr>
        <w:pStyle w:val="Heading2"/>
      </w:pPr>
      <w:bookmarkStart w:id="2" w:name="Xb0b55da0f80ba5091349d87dd92903106f9dba5"/>
      <w:bookmarkEnd w:id="1"/>
      <w:r>
        <w:t>ARTICLE I – TITLE, OBJECTIVES, LOCATION, AFFILIATION, FISCAL YEAR</w:t>
      </w:r>
    </w:p>
    <w:p w14:paraId="2F800896" w14:textId="77777777" w:rsidR="00723F8D" w:rsidRDefault="0056562D">
      <w:pPr>
        <w:pStyle w:val="Heading3"/>
      </w:pPr>
      <w:bookmarkStart w:id="3" w:name="section-1.-title"/>
      <w:r>
        <w:t>Section 1. Title</w:t>
      </w:r>
    </w:p>
    <w:p w14:paraId="5DD61F08" w14:textId="77777777" w:rsidR="00723F8D" w:rsidRDefault="0056562D">
      <w:pPr>
        <w:pStyle w:val="FirstParagraph"/>
      </w:pPr>
      <w:r>
        <w:t xml:space="preserve">This Association shall be known as the </w:t>
      </w:r>
      <w:r>
        <w:rPr>
          <w:b/>
          <w:bCs/>
        </w:rPr>
        <w:t>Heart of America Horse Association (HAHA)</w:t>
      </w:r>
      <w:r>
        <w:t xml:space="preserve"> and shall be operated as a non-profit organization in accordance with the laws of the State of Missouri.</w:t>
      </w:r>
    </w:p>
    <w:p w14:paraId="7A716D1D" w14:textId="77777777" w:rsidR="00723F8D" w:rsidRDefault="0056562D">
      <w:pPr>
        <w:pStyle w:val="Heading3"/>
      </w:pPr>
      <w:bookmarkStart w:id="4" w:name="section-2.-objectives"/>
      <w:bookmarkEnd w:id="3"/>
      <w:r>
        <w:t>Section 2. Objectives</w:t>
      </w:r>
    </w:p>
    <w:p w14:paraId="6C73F15C" w14:textId="77777777" w:rsidR="00723F8D" w:rsidRDefault="0056562D">
      <w:pPr>
        <w:pStyle w:val="FirstParagraph"/>
      </w:pPr>
      <w:r>
        <w:t>The purpose of this Association shall be to promote HAHA-approved activities and affiliated associations while fostering a family-friendly environment.</w:t>
      </w:r>
    </w:p>
    <w:p w14:paraId="36FF5221" w14:textId="77777777" w:rsidR="00723F8D" w:rsidRDefault="0056562D">
      <w:pPr>
        <w:pStyle w:val="Heading3"/>
      </w:pPr>
      <w:bookmarkStart w:id="5" w:name="section-3.-location"/>
      <w:bookmarkEnd w:id="4"/>
      <w:r>
        <w:t>Section 3. Location</w:t>
      </w:r>
    </w:p>
    <w:p w14:paraId="7BFE91A1" w14:textId="77777777" w:rsidR="00723F8D" w:rsidRDefault="0056562D">
      <w:pPr>
        <w:pStyle w:val="FirstParagraph"/>
      </w:pPr>
      <w:r>
        <w:t>The principal place of business shall be the address of the duly elected President or Secretary. Membership records shall be maintained and used for official HAHA business only.</w:t>
      </w:r>
    </w:p>
    <w:p w14:paraId="7025BEED" w14:textId="77777777" w:rsidR="00723F8D" w:rsidRDefault="0056562D">
      <w:pPr>
        <w:pStyle w:val="Heading3"/>
      </w:pPr>
      <w:bookmarkStart w:id="6" w:name="section-4.-affiliation"/>
      <w:bookmarkEnd w:id="5"/>
      <w:r>
        <w:t>Section 4. Affiliation</w:t>
      </w:r>
    </w:p>
    <w:p w14:paraId="731A8A99" w14:textId="77777777" w:rsidR="00723F8D" w:rsidRDefault="0056562D">
      <w:pPr>
        <w:pStyle w:val="FirstParagraph"/>
      </w:pPr>
      <w:r>
        <w:t xml:space="preserve">HAHA shall be affiliated with the </w:t>
      </w:r>
      <w:r>
        <w:rPr>
          <w:b/>
          <w:bCs/>
        </w:rPr>
        <w:t>American Buckskin Registry Association (ABRA)</w:t>
      </w:r>
      <w:r>
        <w:t xml:space="preserve"> and the </w:t>
      </w:r>
      <w:r>
        <w:rPr>
          <w:b/>
          <w:bCs/>
        </w:rPr>
        <w:t>American Quarter Horse Association (AQHA)</w:t>
      </w:r>
      <w:r>
        <w:t xml:space="preserve">. All HAHA-approved shows shall be conducted in accordance with the </w:t>
      </w:r>
      <w:r>
        <w:rPr>
          <w:i/>
          <w:iCs/>
        </w:rPr>
        <w:t>current official AQHA and ABRA Rulebooks</w:t>
      </w:r>
      <w:r>
        <w:t>, including all amendments, interpretations, and policies in effect on the date of the show.</w:t>
      </w:r>
    </w:p>
    <w:p w14:paraId="5C43FD33" w14:textId="77777777" w:rsidR="00723F8D" w:rsidRDefault="0056562D">
      <w:pPr>
        <w:pStyle w:val="BodyText"/>
      </w:pPr>
      <w:r>
        <w:t>In the event of a conflict between these By-Laws and the AQHA or ABRA Rulebooks, the applicable AQHA or ABRA rule shall prevail. Where both apply, AQHA rules shall govern unless ABRA rules are more restrictive for ABRA-designated classes.</w:t>
      </w:r>
    </w:p>
    <w:p w14:paraId="375583D7" w14:textId="77777777" w:rsidR="00723F8D" w:rsidRDefault="0056562D">
      <w:pPr>
        <w:pStyle w:val="Heading3"/>
      </w:pPr>
      <w:bookmarkStart w:id="7" w:name="section-5.-fiscal-year"/>
      <w:bookmarkEnd w:id="6"/>
      <w:r>
        <w:t>Section 5. Fiscal Year</w:t>
      </w:r>
    </w:p>
    <w:p w14:paraId="66AFA1AD" w14:textId="77777777" w:rsidR="00723F8D" w:rsidRDefault="0056562D">
      <w:pPr>
        <w:pStyle w:val="FirstParagraph"/>
      </w:pPr>
      <w:r>
        <w:t>The fiscal year shall be January 1 through December 31.</w:t>
      </w:r>
    </w:p>
    <w:p w14:paraId="7ADA4A21" w14:textId="77777777" w:rsidR="00723F8D" w:rsidRDefault="008209D9">
      <w:r>
        <w:pict w14:anchorId="01328457">
          <v:rect id="_x0000_i1026" style="width:0;height:1.5pt" o:hralign="center" o:hrstd="t" o:hr="t"/>
        </w:pict>
      </w:r>
    </w:p>
    <w:p w14:paraId="235ABD7D" w14:textId="77777777" w:rsidR="00723F8D" w:rsidRDefault="0056562D">
      <w:pPr>
        <w:pStyle w:val="Heading2"/>
      </w:pPr>
      <w:bookmarkStart w:id="8" w:name="article-ii-membership"/>
      <w:bookmarkEnd w:id="2"/>
      <w:bookmarkEnd w:id="7"/>
      <w:r>
        <w:lastRenderedPageBreak/>
        <w:t>ARTICLE II – MEMBERSHIP</w:t>
      </w:r>
    </w:p>
    <w:p w14:paraId="6B2434A8" w14:textId="77777777" w:rsidR="00723F8D" w:rsidRDefault="0056562D">
      <w:pPr>
        <w:pStyle w:val="Heading3"/>
      </w:pPr>
      <w:bookmarkStart w:id="9" w:name="section-1.-eligibility"/>
      <w:r>
        <w:t>Section 1. Eligibility</w:t>
      </w:r>
    </w:p>
    <w:p w14:paraId="6704FF79" w14:textId="77777777" w:rsidR="00723F8D" w:rsidRDefault="0056562D">
      <w:pPr>
        <w:pStyle w:val="FirstParagraph"/>
      </w:pPr>
      <w:r>
        <w:t>Membership is open to individuals and families interested in HAHA and its affiliated activities, subject to compliance with these By-Laws and HAHA policies.</w:t>
      </w:r>
    </w:p>
    <w:p w14:paraId="45C9BB45" w14:textId="77777777" w:rsidR="00723F8D" w:rsidRDefault="0056562D">
      <w:pPr>
        <w:pStyle w:val="Heading3"/>
      </w:pPr>
      <w:bookmarkStart w:id="10" w:name="section-2.-membership-dues-and-types"/>
      <w:bookmarkEnd w:id="9"/>
      <w:r>
        <w:t>Section 2. Membership Dues and Types</w:t>
      </w:r>
    </w:p>
    <w:p w14:paraId="672218A3" w14:textId="77777777" w:rsidR="00723F8D" w:rsidRDefault="0056562D">
      <w:pPr>
        <w:pStyle w:val="FirstParagraph"/>
      </w:pPr>
      <w:r>
        <w:t xml:space="preserve">Membership dues are </w:t>
      </w:r>
      <w:r>
        <w:rPr>
          <w:b/>
          <w:bCs/>
        </w:rPr>
        <w:t>non-refundable</w:t>
      </w:r>
      <w:r>
        <w:t xml:space="preserve"> and shall be as follows unless amended by the Board of Directors:</w:t>
      </w:r>
    </w:p>
    <w:p w14:paraId="22180580" w14:textId="77777777" w:rsidR="00723F8D" w:rsidRDefault="0056562D">
      <w:pPr>
        <w:numPr>
          <w:ilvl w:val="0"/>
          <w:numId w:val="2"/>
        </w:numPr>
      </w:pPr>
      <w:r>
        <w:rPr>
          <w:b/>
          <w:bCs/>
        </w:rPr>
        <w:t>Single Membership</w:t>
      </w:r>
      <w:r>
        <w:t xml:space="preserve"> – </w:t>
      </w:r>
      <w:r>
        <w:rPr>
          <w:b/>
          <w:bCs/>
        </w:rPr>
        <w:t>$50.00</w:t>
      </w:r>
      <w:r>
        <w:br/>
        <w:t>Any individual exhibitor or non-exhibiting member.</w:t>
      </w:r>
    </w:p>
    <w:p w14:paraId="0E97C2A4" w14:textId="77777777" w:rsidR="00723F8D" w:rsidRDefault="0056562D">
      <w:pPr>
        <w:numPr>
          <w:ilvl w:val="0"/>
          <w:numId w:val="2"/>
        </w:numPr>
      </w:pPr>
      <w:r>
        <w:rPr>
          <w:b/>
          <w:bCs/>
        </w:rPr>
        <w:t>Family Membership</w:t>
      </w:r>
      <w:r>
        <w:t xml:space="preserve"> – </w:t>
      </w:r>
      <w:r>
        <w:rPr>
          <w:b/>
          <w:bCs/>
        </w:rPr>
        <w:t>$100.00</w:t>
      </w:r>
      <w:r>
        <w:br/>
        <w:t>A married couple and/or parent(s) with child(ren) under the age of eighteen (18) living at home.</w:t>
      </w:r>
    </w:p>
    <w:p w14:paraId="6F12B776" w14:textId="77777777" w:rsidR="00723F8D" w:rsidRDefault="0056562D">
      <w:pPr>
        <w:pStyle w:val="FirstParagraph"/>
      </w:pPr>
      <w:r>
        <w:t>Dues shall be payable annually and must be paid in full for a member to be considered in good standing.</w:t>
      </w:r>
    </w:p>
    <w:p w14:paraId="3C151850" w14:textId="77777777" w:rsidR="00723F8D" w:rsidRDefault="0056562D">
      <w:pPr>
        <w:pStyle w:val="Heading3"/>
      </w:pPr>
      <w:bookmarkStart w:id="11" w:name="section-3.-voting-and-office-eligibility"/>
      <w:bookmarkEnd w:id="10"/>
      <w:r>
        <w:t>Section 3. Voting and Office Eligibility</w:t>
      </w:r>
    </w:p>
    <w:p w14:paraId="10528504" w14:textId="77777777" w:rsidR="00723F8D" w:rsidRDefault="0056562D">
      <w:pPr>
        <w:pStyle w:val="FirstParagraph"/>
      </w:pPr>
      <w:r>
        <w:t>Each adult member in good standing shall be entitled to one (1) vote. Membership in good standing for a minimum of twelve (12) consecutive months is required to hold elected office unless otherwise provided herein.</w:t>
      </w:r>
    </w:p>
    <w:p w14:paraId="48C596A9" w14:textId="77777777" w:rsidR="00723F8D" w:rsidRDefault="0056562D">
      <w:pPr>
        <w:pStyle w:val="Heading3"/>
      </w:pPr>
      <w:bookmarkStart w:id="12" w:name="section-4.-award-eligibility"/>
      <w:bookmarkEnd w:id="11"/>
      <w:r>
        <w:t>Section 4. Award Eligibility</w:t>
      </w:r>
    </w:p>
    <w:p w14:paraId="5F31B1AD" w14:textId="77777777" w:rsidR="00723F8D" w:rsidRDefault="0056562D">
      <w:pPr>
        <w:pStyle w:val="FirstParagraph"/>
      </w:pPr>
      <w:r>
        <w:t>Membership in good standing is required to earn HAHA points and to be eligible for HAHA awards. Points shall not accrue until dues are paid in full.</w:t>
      </w:r>
    </w:p>
    <w:p w14:paraId="107A235A" w14:textId="77777777" w:rsidR="00723F8D" w:rsidRDefault="008209D9">
      <w:r>
        <w:pict w14:anchorId="0A0B9BBB">
          <v:rect id="_x0000_i1027" style="width:0;height:1.5pt" o:hralign="center" o:hrstd="t" o:hr="t"/>
        </w:pict>
      </w:r>
    </w:p>
    <w:p w14:paraId="38AADD95" w14:textId="77777777" w:rsidR="00723F8D" w:rsidRDefault="0056562D">
      <w:pPr>
        <w:pStyle w:val="Heading2"/>
      </w:pPr>
      <w:bookmarkStart w:id="13" w:name="article-iii-meetings"/>
      <w:bookmarkEnd w:id="8"/>
      <w:bookmarkEnd w:id="12"/>
      <w:r>
        <w:t>ARTICLE III – MEETINGS</w:t>
      </w:r>
    </w:p>
    <w:p w14:paraId="0E036537" w14:textId="77777777" w:rsidR="00723F8D" w:rsidRDefault="0056562D">
      <w:pPr>
        <w:pStyle w:val="FirstParagraph"/>
      </w:pPr>
      <w:r>
        <w:t>All provisions governing annual meetings, special meetings, notice, quorum, voting, proxies, officers presiding, and parliamentary authority (Robert’s Rules of Order) shall remain in effect as previously adopted.</w:t>
      </w:r>
    </w:p>
    <w:p w14:paraId="334E986B" w14:textId="77777777" w:rsidR="00723F8D" w:rsidRDefault="008209D9">
      <w:r>
        <w:pict w14:anchorId="7A620928">
          <v:rect id="_x0000_i1028" style="width:0;height:1.5pt" o:hralign="center" o:hrstd="t" o:hr="t"/>
        </w:pict>
      </w:r>
    </w:p>
    <w:p w14:paraId="693A0581" w14:textId="77777777" w:rsidR="00723F8D" w:rsidRDefault="0056562D">
      <w:pPr>
        <w:pStyle w:val="Heading2"/>
      </w:pPr>
      <w:bookmarkStart w:id="14" w:name="article-iv-board-of-directors"/>
      <w:bookmarkEnd w:id="13"/>
      <w:r>
        <w:t>ARTICLE IV – BOARD OF DIRECTORS</w:t>
      </w:r>
    </w:p>
    <w:p w14:paraId="71F20E63" w14:textId="77777777" w:rsidR="00723F8D" w:rsidRDefault="0056562D">
      <w:pPr>
        <w:pStyle w:val="FirstParagraph"/>
      </w:pPr>
      <w:r>
        <w:t>All provisions regarding composition, eligibility, elections, nominations, voting, vacancies, meetings, committees, absenteeism, and authority of the Board of Directors shall remain in effect as previously adopted.</w:t>
      </w:r>
    </w:p>
    <w:p w14:paraId="6E1ED4B6" w14:textId="77777777" w:rsidR="00723F8D" w:rsidRDefault="008209D9">
      <w:r>
        <w:lastRenderedPageBreak/>
        <w:pict w14:anchorId="1E064007">
          <v:rect id="_x0000_i1029" style="width:0;height:1.5pt" o:hralign="center" o:hrstd="t" o:hr="t"/>
        </w:pict>
      </w:r>
    </w:p>
    <w:p w14:paraId="2FD347EC" w14:textId="77777777" w:rsidR="00723F8D" w:rsidRDefault="0056562D">
      <w:pPr>
        <w:pStyle w:val="Heading2"/>
      </w:pPr>
      <w:bookmarkStart w:id="15" w:name="Xb05d5cfaf1854aa0d77e2d2b3b0c36ad96c8b6c"/>
      <w:bookmarkEnd w:id="14"/>
      <w:r>
        <w:t>ARTICLE V – OFFICERS, DUTIES, AND TERMS OF OFFICE</w:t>
      </w:r>
    </w:p>
    <w:p w14:paraId="577B01AC" w14:textId="77777777" w:rsidR="00723F8D" w:rsidRDefault="0056562D">
      <w:pPr>
        <w:pStyle w:val="FirstParagraph"/>
      </w:pPr>
      <w:r>
        <w:t>All officer positions, eligibility requirements, terms, duties, voting authority, and auditing provisions shall remain in effect as previously adopted.</w:t>
      </w:r>
    </w:p>
    <w:p w14:paraId="24FC14A1" w14:textId="77777777" w:rsidR="00723F8D" w:rsidRDefault="008209D9">
      <w:r>
        <w:pict w14:anchorId="70D30B68">
          <v:rect id="_x0000_i1030" style="width:0;height:1.5pt" o:hralign="center" o:hrstd="t" o:hr="t"/>
        </w:pict>
      </w:r>
    </w:p>
    <w:p w14:paraId="75B0229A" w14:textId="77777777" w:rsidR="00723F8D" w:rsidRDefault="0056562D">
      <w:pPr>
        <w:pStyle w:val="Heading2"/>
      </w:pPr>
      <w:bookmarkStart w:id="16" w:name="article-vi-shows-and-showing"/>
      <w:bookmarkEnd w:id="15"/>
      <w:r>
        <w:t>ARTICLE VI – SHOWS AND SHOWING</w:t>
      </w:r>
    </w:p>
    <w:p w14:paraId="012C5E0B" w14:textId="77777777" w:rsidR="00723F8D" w:rsidRDefault="0056562D">
      <w:pPr>
        <w:pStyle w:val="Heading3"/>
      </w:pPr>
      <w:bookmarkStart w:id="17" w:name="section-1.-horse-eligibility"/>
      <w:r>
        <w:t>Section 1. Horse Eligibility</w:t>
      </w:r>
    </w:p>
    <w:p w14:paraId="1E207549" w14:textId="77777777" w:rsidR="00723F8D" w:rsidRDefault="0056562D">
      <w:pPr>
        <w:pStyle w:val="FirstParagraph"/>
      </w:pPr>
      <w:r>
        <w:t xml:space="preserve">Eligibility of horses, ponies, and mules for ABRA, AQHA, or All-Breed classes shall be determined strictly in accordance with the </w:t>
      </w:r>
      <w:r>
        <w:rPr>
          <w:i/>
          <w:iCs/>
        </w:rPr>
        <w:t>current AQHA and ABRA Rulebooks</w:t>
      </w:r>
      <w:r>
        <w:t>. Registration status, color eligibility, age divisions, documentation, ownership, and lease arrangements must meet requirements in effect at the time of the show.</w:t>
      </w:r>
    </w:p>
    <w:p w14:paraId="5E402838" w14:textId="77777777" w:rsidR="00723F8D" w:rsidRDefault="0056562D">
      <w:pPr>
        <w:pStyle w:val="BodyText"/>
      </w:pPr>
      <w:r>
        <w:t>All equine health documentation shall comply with Missouri law and any AQHA or ABRA requirements in effect at the time of the show.</w:t>
      </w:r>
    </w:p>
    <w:p w14:paraId="5E53C23F" w14:textId="77777777" w:rsidR="00723F8D" w:rsidRDefault="008209D9">
      <w:r>
        <w:pict w14:anchorId="6B697DD4">
          <v:rect id="_x0000_i1031" style="width:0;height:1.5pt" o:hralign="center" o:hrstd="t" o:hr="t"/>
        </w:pict>
      </w:r>
    </w:p>
    <w:p w14:paraId="4E4FE193" w14:textId="77777777" w:rsidR="00723F8D" w:rsidRDefault="0056562D">
      <w:pPr>
        <w:pStyle w:val="Heading3"/>
      </w:pPr>
      <w:bookmarkStart w:id="18" w:name="section-2.-class-designations"/>
      <w:bookmarkEnd w:id="17"/>
      <w:r>
        <w:t>Section 2. Class Designations</w:t>
      </w:r>
    </w:p>
    <w:p w14:paraId="698D9373" w14:textId="5AE18FFD" w:rsidR="00723F8D" w:rsidRDefault="0056562D">
      <w:pPr>
        <w:pStyle w:val="FirstParagraph"/>
      </w:pPr>
      <w:r>
        <w:t xml:space="preserve">All class eligibility—including Youth, Amateur, Level 1 / Small Fry, Open, and specialty divisions—shall be defined and governed by the </w:t>
      </w:r>
      <w:r>
        <w:rPr>
          <w:i/>
          <w:iCs/>
        </w:rPr>
        <w:t>current AQHA and ABRA Rulebooks</w:t>
      </w:r>
      <w:r>
        <w:t>. HAHA incorporates those standards by reference and does not restate fixed eligibility criteria within these By-Laws.</w:t>
      </w:r>
    </w:p>
    <w:p w14:paraId="775E94D1" w14:textId="77777777" w:rsidR="00723F8D" w:rsidRDefault="008209D9">
      <w:r>
        <w:pict w14:anchorId="490D2154">
          <v:rect id="_x0000_i1032" style="width:0;height:1.5pt" o:hralign="center" o:hrstd="t" o:hr="t"/>
        </w:pict>
      </w:r>
    </w:p>
    <w:p w14:paraId="0280014D" w14:textId="77777777" w:rsidR="00723F8D" w:rsidRDefault="0056562D">
      <w:pPr>
        <w:pStyle w:val="Heading3"/>
      </w:pPr>
      <w:bookmarkStart w:id="19" w:name="X5541e870480209643821c12cf67de22b0f8c953"/>
      <w:bookmarkEnd w:id="18"/>
      <w:r>
        <w:t>Section 3. Owner and Exhibitor Eligibility</w:t>
      </w:r>
    </w:p>
    <w:p w14:paraId="03BEA5B1" w14:textId="77777777" w:rsidR="00723F8D" w:rsidRDefault="0056562D">
      <w:pPr>
        <w:pStyle w:val="FirstParagraph"/>
      </w:pPr>
      <w:r>
        <w:t xml:space="preserve">Owner and exhibitor eligibility, membership requirements, amateur and youth status, stallion handling restrictions, and conduct shall conform to the </w:t>
      </w:r>
      <w:r>
        <w:rPr>
          <w:i/>
          <w:iCs/>
        </w:rPr>
        <w:t>current AQHA and ABRA Rulebooks</w:t>
      </w:r>
      <w:r>
        <w:t>. HAHA shall enforce all applicable restrictions and penalties imposed by those associations.</w:t>
      </w:r>
    </w:p>
    <w:p w14:paraId="43E72C0D" w14:textId="77777777" w:rsidR="00723F8D" w:rsidRDefault="0056562D">
      <w:pPr>
        <w:pStyle w:val="BodyText"/>
      </w:pPr>
      <w:r>
        <w:t>All outstanding debts to HAHA must be satisfied prior to participation in HAHA-approved shows or receipt of HAHA points or awards.</w:t>
      </w:r>
    </w:p>
    <w:p w14:paraId="1691DAC3" w14:textId="77777777" w:rsidR="00723F8D" w:rsidRDefault="008209D9">
      <w:r>
        <w:pict w14:anchorId="17C48256">
          <v:rect id="_x0000_i1033" style="width:0;height:1.5pt" o:hralign="center" o:hrstd="t" o:hr="t"/>
        </w:pict>
      </w:r>
    </w:p>
    <w:p w14:paraId="7482328B" w14:textId="77777777" w:rsidR="00723F8D" w:rsidRDefault="0056562D">
      <w:pPr>
        <w:pStyle w:val="Heading3"/>
      </w:pPr>
      <w:bookmarkStart w:id="20" w:name="section-4.-attire-and-equipment"/>
      <w:bookmarkEnd w:id="19"/>
      <w:r>
        <w:t>Section 4. Attire and Equipment</w:t>
      </w:r>
    </w:p>
    <w:p w14:paraId="41D9F82E" w14:textId="77777777" w:rsidR="00723F8D" w:rsidRDefault="0056562D">
      <w:pPr>
        <w:pStyle w:val="FirstParagraph"/>
      </w:pPr>
      <w:r>
        <w:t xml:space="preserve">All exhibitor attire, tack, equipment, and safety requirements—including helmet rules—shall comply with the </w:t>
      </w:r>
      <w:r>
        <w:rPr>
          <w:i/>
          <w:iCs/>
        </w:rPr>
        <w:t>current AQHA and ABRA Rulebooks</w:t>
      </w:r>
      <w:r>
        <w:t xml:space="preserve"> applicable to each class.</w:t>
      </w:r>
    </w:p>
    <w:p w14:paraId="6212D5F3" w14:textId="77777777" w:rsidR="00723F8D" w:rsidRDefault="008209D9">
      <w:r>
        <w:lastRenderedPageBreak/>
        <w:pict w14:anchorId="68C8E984">
          <v:rect id="_x0000_i1034" style="width:0;height:1.5pt" o:hralign="center" o:hrstd="t" o:hr="t"/>
        </w:pict>
      </w:r>
    </w:p>
    <w:p w14:paraId="07A6B1EF" w14:textId="77777777" w:rsidR="00723F8D" w:rsidRDefault="0056562D">
      <w:pPr>
        <w:pStyle w:val="Heading3"/>
      </w:pPr>
      <w:bookmarkStart w:id="21" w:name="section-5.-points-and-awards"/>
      <w:bookmarkEnd w:id="20"/>
      <w:r>
        <w:t>Section 5. Points and Awards</w:t>
      </w:r>
    </w:p>
    <w:p w14:paraId="2104CB75" w14:textId="77777777" w:rsidR="00723F8D" w:rsidRDefault="0056562D">
      <w:pPr>
        <w:pStyle w:val="Heading4"/>
      </w:pPr>
      <w:bookmarkStart w:id="22" w:name="a.-general-eligibility"/>
      <w:r>
        <w:t>A. General Eligibility</w:t>
      </w:r>
    </w:p>
    <w:p w14:paraId="4FFE12BB" w14:textId="77777777" w:rsidR="00723F8D" w:rsidRDefault="0056562D">
      <w:pPr>
        <w:pStyle w:val="FirstParagraph"/>
      </w:pPr>
      <w:r>
        <w:t>To be eligible for HAHA Weekend Hi-Point or Year-End Awards, the owner and exhibitor must be members in good standing of HAHA prior to the start of the show at which points are earned. Points shall not accrue until membership dues are paid in full.</w:t>
      </w:r>
    </w:p>
    <w:p w14:paraId="612177DC" w14:textId="77777777" w:rsidR="00723F8D" w:rsidRDefault="0056562D">
      <w:pPr>
        <w:pStyle w:val="BodyText"/>
      </w:pPr>
      <w:r>
        <w:t xml:space="preserve">Points are calculated on a </w:t>
      </w:r>
      <w:r>
        <w:rPr>
          <w:b/>
          <w:bCs/>
        </w:rPr>
        <w:t>one horse / one exhibitor</w:t>
      </w:r>
      <w:r>
        <w:t xml:space="preserve"> basis. Points earned on multiple horses or by multiple exhibitors may not be combined.</w:t>
      </w:r>
    </w:p>
    <w:p w14:paraId="5C000A49" w14:textId="77777777" w:rsidR="00723F8D" w:rsidRDefault="0056562D">
      <w:pPr>
        <w:pStyle w:val="Heading4"/>
      </w:pPr>
      <w:bookmarkStart w:id="23" w:name="b.-weekend-hi-point-awards"/>
      <w:bookmarkEnd w:id="22"/>
      <w:r>
        <w:t>B. Weekend Hi-Point Awards</w:t>
      </w:r>
    </w:p>
    <w:p w14:paraId="08978AC8" w14:textId="77777777" w:rsidR="00723F8D" w:rsidRDefault="0056562D">
      <w:pPr>
        <w:pStyle w:val="FirstParagraph"/>
      </w:pPr>
      <w:r>
        <w:t>Weekend Hi-Point Awards shall be calculated based on points earned during the designated show format offered (including but not limited to single-judge, double-judge, split format, or concurrent AQHA/ABRA shows), as published on the approved show bill.</w:t>
      </w:r>
    </w:p>
    <w:p w14:paraId="38B3E297" w14:textId="77777777" w:rsidR="00723F8D" w:rsidRDefault="0056562D">
      <w:pPr>
        <w:pStyle w:val="BodyText"/>
      </w:pPr>
      <w:r>
        <w:t>When multiple judges or formats are offered during a show weekend: - Each judge shall be scored independently unless otherwise stated on the show bill. - Classes offered once per day shall count as one (1) opportunity per day. - Double-judged or split-format shows shall count as one (1) show day unless otherwise specified on the show bill.</w:t>
      </w:r>
    </w:p>
    <w:p w14:paraId="68087CB7" w14:textId="77777777" w:rsidR="00723F8D" w:rsidRDefault="0056562D">
      <w:pPr>
        <w:pStyle w:val="BodyText"/>
      </w:pPr>
      <w:r>
        <w:t>Hi-Point categories, divisions, and eligibility shall be determined by the Show Committee or Board of Directors prior to the show season and published in advance.</w:t>
      </w:r>
    </w:p>
    <w:p w14:paraId="28A56BB9" w14:textId="77777777" w:rsidR="00723F8D" w:rsidRDefault="0056562D">
      <w:pPr>
        <w:pStyle w:val="Heading4"/>
      </w:pPr>
      <w:bookmarkStart w:id="24" w:name="c.-year-end-awards"/>
      <w:bookmarkEnd w:id="23"/>
      <w:r>
        <w:t>C. Year-End Awards</w:t>
      </w:r>
    </w:p>
    <w:p w14:paraId="6D22599E" w14:textId="77777777" w:rsidR="00723F8D" w:rsidRDefault="0056562D">
      <w:pPr>
        <w:pStyle w:val="FirstParagraph"/>
      </w:pPr>
      <w:r>
        <w:t>Year-End Awards shall be calculated based on HAHA points accumulated during the official show season in approved HAHA shows.</w:t>
      </w:r>
    </w:p>
    <w:p w14:paraId="59D4F231" w14:textId="77777777" w:rsidR="00723F8D" w:rsidRDefault="0056562D">
      <w:pPr>
        <w:pStyle w:val="BodyText"/>
      </w:pPr>
      <w:r>
        <w:t xml:space="preserve">To be eligible for Year-End Awards: - The exhibitor must compete in a minimum of </w:t>
      </w:r>
      <w:r>
        <w:rPr>
          <w:b/>
          <w:bCs/>
        </w:rPr>
        <w:t>fifty percent (50%)</w:t>
      </w:r>
      <w:r>
        <w:t xml:space="preserve"> of the HAHA-approved shows held during the season. - Points shall be calculated using the show formats offered and approved for each event. - Only classes that are actually offered and competed in during the season shall count toward Year-End totals.</w:t>
      </w:r>
    </w:p>
    <w:p w14:paraId="595C1BF0" w14:textId="77777777" w:rsidR="00723F8D" w:rsidRDefault="0056562D">
      <w:pPr>
        <w:pStyle w:val="BodyText"/>
      </w:pPr>
      <w:r>
        <w:t>Year-End Award categories may be adjusted annually based on the classes, divisions, and formats offered during the show season. No exhibitor shall be penalized for the absence of a class or division not offered during the season.</w:t>
      </w:r>
    </w:p>
    <w:p w14:paraId="3DA8B3BC" w14:textId="77777777" w:rsidR="00723F8D" w:rsidRDefault="0056562D">
      <w:pPr>
        <w:pStyle w:val="Heading4"/>
      </w:pPr>
      <w:bookmarkStart w:id="25" w:name="d.-ties-and-disputes"/>
      <w:bookmarkEnd w:id="24"/>
      <w:r>
        <w:t>D. Ties and Disputes</w:t>
      </w:r>
    </w:p>
    <w:p w14:paraId="0C03FC35" w14:textId="77777777" w:rsidR="00723F8D" w:rsidRDefault="0056562D">
      <w:pPr>
        <w:pStyle w:val="FirstParagraph"/>
      </w:pPr>
      <w:r>
        <w:t>In the event of a tie for Weekend Hi-Point or Year-End Awards, the tie-breaking method shall be determined by the Board of Directors prior to award presentation.</w:t>
      </w:r>
    </w:p>
    <w:p w14:paraId="0FEF269E" w14:textId="77777777" w:rsidR="00723F8D" w:rsidRDefault="0056562D">
      <w:pPr>
        <w:pStyle w:val="BodyText"/>
      </w:pPr>
      <w:r>
        <w:t>All disputes regarding points, eligibility, or awards must be submitted in writing to the Board of Directors. The decision of the Board shall be final.</w:t>
      </w:r>
    </w:p>
    <w:p w14:paraId="64A93910" w14:textId="77777777" w:rsidR="00723F8D" w:rsidRDefault="008209D9">
      <w:r>
        <w:lastRenderedPageBreak/>
        <w:pict w14:anchorId="7EB369B5">
          <v:rect id="_x0000_i1035" style="width:0;height:1.5pt" o:hralign="center" o:hrstd="t" o:hr="t"/>
        </w:pict>
      </w:r>
    </w:p>
    <w:p w14:paraId="4AFF0775" w14:textId="77777777" w:rsidR="00723F8D" w:rsidRDefault="0056562D">
      <w:pPr>
        <w:pStyle w:val="Heading2"/>
      </w:pPr>
      <w:bookmarkStart w:id="26" w:name="article-vii-amendments"/>
      <w:bookmarkEnd w:id="16"/>
      <w:bookmarkEnd w:id="21"/>
      <w:bookmarkEnd w:id="25"/>
      <w:r>
        <w:t>ARTICLE VII – AMENDMENTS</w:t>
      </w:r>
    </w:p>
    <w:p w14:paraId="34CDFBE1" w14:textId="77777777" w:rsidR="00723F8D" w:rsidRDefault="0056562D">
      <w:pPr>
        <w:pStyle w:val="Heading3"/>
      </w:pPr>
      <w:bookmarkStart w:id="27" w:name="section-1.-authority"/>
      <w:r>
        <w:t>Section 1. Authority</w:t>
      </w:r>
    </w:p>
    <w:p w14:paraId="5D44C18D" w14:textId="77777777" w:rsidR="00723F8D" w:rsidRDefault="0056562D">
      <w:pPr>
        <w:pStyle w:val="FirstParagraph"/>
      </w:pPr>
      <w:r>
        <w:t>These By-Laws may be amended by a two-thirds (2/3) vote of the Board of Directors and Officers present at a regular or special meeting, provided written notice has been provided to members at least fifteen (15) days prior to the meeting.</w:t>
      </w:r>
    </w:p>
    <w:p w14:paraId="31C21DC2" w14:textId="77777777" w:rsidR="00723F8D" w:rsidRDefault="0056562D">
      <w:pPr>
        <w:pStyle w:val="Heading3"/>
      </w:pPr>
      <w:bookmarkStart w:id="28" w:name="section-2.-automatic-rule-incorporation"/>
      <w:bookmarkEnd w:id="27"/>
      <w:r>
        <w:t>Section 2. Automatic Rule Incorporation</w:t>
      </w:r>
    </w:p>
    <w:p w14:paraId="7EFC65A7" w14:textId="77777777" w:rsidR="00723F8D" w:rsidRDefault="0056562D">
      <w:pPr>
        <w:pStyle w:val="FirstParagraph"/>
      </w:pPr>
      <w:r>
        <w:t>Changes to AQHA or ABRA Rulebooks shall be automatically incorporated by reference upon their effective dates and shall not require amendment of these By-Laws.</w:t>
      </w:r>
    </w:p>
    <w:p w14:paraId="33D4B121" w14:textId="77777777" w:rsidR="00723F8D" w:rsidRDefault="008209D9">
      <w:r>
        <w:pict w14:anchorId="43EB2F27">
          <v:rect id="_x0000_i1036" style="width:0;height:1.5pt" o:hralign="center" o:hrstd="t" o:hr="t"/>
        </w:pict>
      </w:r>
    </w:p>
    <w:p w14:paraId="019C0367" w14:textId="77777777" w:rsidR="00723F8D" w:rsidRDefault="0056562D">
      <w:pPr>
        <w:pStyle w:val="Heading2"/>
      </w:pPr>
      <w:bookmarkStart w:id="29" w:name="X981fdc83c72a99277642a195a70498e8f414438"/>
      <w:bookmarkEnd w:id="26"/>
      <w:bookmarkEnd w:id="28"/>
      <w:r>
        <w:t>ARTICLE VIII – CHARTER MEETING, MEMBERSHIPS &amp; ELECTIONS</w:t>
      </w:r>
    </w:p>
    <w:p w14:paraId="593B33AC" w14:textId="77777777" w:rsidR="00723F8D" w:rsidRDefault="0056562D">
      <w:pPr>
        <w:pStyle w:val="FirstParagraph"/>
      </w:pPr>
      <w:r>
        <w:t>All charter provisions shall remain as historical record and are not affected by this amendment.</w:t>
      </w:r>
    </w:p>
    <w:p w14:paraId="4F3A4299" w14:textId="77777777" w:rsidR="00723F8D" w:rsidRDefault="008209D9">
      <w:r>
        <w:pict w14:anchorId="307CC250">
          <v:rect id="_x0000_i1037" style="width:0;height:1.5pt" o:hralign="center" o:hrstd="t" o:hr="t"/>
        </w:pict>
      </w:r>
    </w:p>
    <w:p w14:paraId="0919C938" w14:textId="77777777" w:rsidR="00723F8D" w:rsidRDefault="0056562D">
      <w:pPr>
        <w:pStyle w:val="FirstParagraph"/>
      </w:pPr>
      <w:r>
        <w:rPr>
          <w:b/>
          <w:bCs/>
        </w:rPr>
        <w:t>CERTIFICATION</w:t>
      </w:r>
    </w:p>
    <w:p w14:paraId="3D491075" w14:textId="08F81B5B" w:rsidR="00723F8D" w:rsidRDefault="0056562D">
      <w:pPr>
        <w:pStyle w:val="BodyText"/>
      </w:pPr>
      <w:r>
        <w:t xml:space="preserve">These By-Laws were adopted by the Heart of America Horse Association Board of Directors and Officers on </w:t>
      </w:r>
      <w:r w:rsidR="008209D9">
        <w:t>January 26, 2026</w:t>
      </w:r>
      <w:r>
        <w:t>, and supersede all prior conflicting provisions.</w:t>
      </w:r>
    </w:p>
    <w:bookmarkEnd w:id="0"/>
    <w:bookmarkEnd w:id="29"/>
    <w:p w14:paraId="75CEF7CB" w14:textId="0FB92759" w:rsidR="00723F8D" w:rsidRDefault="00723F8D">
      <w:pPr>
        <w:pStyle w:val="BodyText"/>
      </w:pPr>
    </w:p>
    <w:sectPr w:rsidR="00723F8D">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B48E564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36744B28"/>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876241886">
    <w:abstractNumId w:val="0"/>
  </w:num>
  <w:num w:numId="2" w16cid:durableId="13984741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723F8D"/>
    <w:rsid w:val="002C1364"/>
    <w:rsid w:val="003E01FA"/>
    <w:rsid w:val="0056562D"/>
    <w:rsid w:val="00673406"/>
    <w:rsid w:val="00723F8D"/>
    <w:rsid w:val="008209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9"/>
    <o:shapelayout v:ext="edit">
      <o:idmap v:ext="edit" data="1"/>
    </o:shapelayout>
  </w:shapeDefaults>
  <w:decimalSymbol w:val="."/>
  <w:listSeparator w:val=","/>
  <w14:docId w14:val="4C16AA0C"/>
  <w15:docId w15:val="{50F46712-A585-404C-8CC2-4E5B6BEDD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1192</Words>
  <Characters>6586</Characters>
  <Application>Microsoft Office Word</Application>
  <DocSecurity>0</DocSecurity>
  <Lines>143</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Christal Sivils</cp:lastModifiedBy>
  <cp:revision>3</cp:revision>
  <cp:lastPrinted>2026-01-25T20:31:00Z</cp:lastPrinted>
  <dcterms:created xsi:type="dcterms:W3CDTF">2026-01-25T20:29:00Z</dcterms:created>
  <dcterms:modified xsi:type="dcterms:W3CDTF">2026-01-28T17:48:00Z</dcterms:modified>
</cp:coreProperties>
</file>